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4A3" w:rsidRPr="002E5848" w:rsidRDefault="006934A3" w:rsidP="002E5848">
      <w:pPr>
        <w:spacing w:after="240"/>
      </w:pPr>
      <w:r w:rsidRPr="002E5848">
        <w:rPr>
          <w:b/>
          <w:noProof/>
          <w:lang w:val="sq-AL" w:eastAsia="sq-AL"/>
        </w:rPr>
        <w:drawing>
          <wp:anchor distT="0" distB="0" distL="114300" distR="114300" simplePos="0" relativeHeight="251660288" behindDoc="1" locked="0" layoutInCell="1" allowOverlap="1" wp14:anchorId="2D58748B" wp14:editId="357BCE11">
            <wp:simplePos x="0" y="0"/>
            <wp:positionH relativeFrom="margin">
              <wp:posOffset>5147945</wp:posOffset>
            </wp:positionH>
            <wp:positionV relativeFrom="paragraph">
              <wp:posOffset>326390</wp:posOffset>
            </wp:positionV>
            <wp:extent cx="627380" cy="932180"/>
            <wp:effectExtent l="0" t="0" r="1270" b="1270"/>
            <wp:wrapThrough wrapText="bothSides">
              <wp:wrapPolygon edited="0">
                <wp:start x="1968" y="0"/>
                <wp:lineTo x="0" y="2649"/>
                <wp:lineTo x="0" y="19422"/>
                <wp:lineTo x="5903" y="21188"/>
                <wp:lineTo x="15085" y="21188"/>
                <wp:lineTo x="20988" y="19422"/>
                <wp:lineTo x="20988" y="2649"/>
                <wp:lineTo x="18364" y="0"/>
                <wp:lineTo x="1968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ër dokumente 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34A3" w:rsidRPr="002E5848" w:rsidRDefault="006934A3" w:rsidP="002E5848">
      <w:pPr>
        <w:rPr>
          <w:b/>
        </w:rPr>
      </w:pPr>
      <w:r w:rsidRPr="002E5848">
        <w:rPr>
          <w:noProof/>
          <w:lang w:val="sq-AL" w:eastAsia="sq-AL"/>
        </w:rPr>
        <w:drawing>
          <wp:anchor distT="0" distB="0" distL="114300" distR="114300" simplePos="0" relativeHeight="251659264" behindDoc="1" locked="0" layoutInCell="1" allowOverlap="1" wp14:anchorId="5FBF9E77" wp14:editId="552F312B">
            <wp:simplePos x="0" y="0"/>
            <wp:positionH relativeFrom="column">
              <wp:posOffset>7620</wp:posOffset>
            </wp:positionH>
            <wp:positionV relativeFrom="paragraph">
              <wp:posOffset>116205</wp:posOffset>
            </wp:positionV>
            <wp:extent cx="738505" cy="815340"/>
            <wp:effectExtent l="0" t="0" r="4445" b="3810"/>
            <wp:wrapThrough wrapText="bothSides">
              <wp:wrapPolygon edited="0">
                <wp:start x="3343" y="0"/>
                <wp:lineTo x="0" y="505"/>
                <wp:lineTo x="0" y="11607"/>
                <wp:lineTo x="1672" y="16150"/>
                <wp:lineTo x="7801" y="21196"/>
                <wp:lineTo x="8358" y="21196"/>
                <wp:lineTo x="12815" y="21196"/>
                <wp:lineTo x="13372" y="21196"/>
                <wp:lineTo x="19501" y="16150"/>
                <wp:lineTo x="21173" y="11607"/>
                <wp:lineTo x="21173" y="505"/>
                <wp:lineTo x="17830" y="0"/>
                <wp:lineTo x="3343" y="0"/>
              </wp:wrapPolygon>
            </wp:wrapThrough>
            <wp:docPr id="4" name="Picture 4" descr="Description: 131px-Coat_of_arms_of_Kos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131px-Coat_of_arms_of_Kosov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505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4A3" w:rsidRPr="002E5848" w:rsidRDefault="006934A3" w:rsidP="002E5848">
      <w:pPr>
        <w:jc w:val="center"/>
        <w:rPr>
          <w:b/>
        </w:rPr>
      </w:pPr>
      <w:r w:rsidRPr="002E5848">
        <w:rPr>
          <w:b/>
        </w:rPr>
        <w:t>REPUBLIKA E KOSOVËS</w:t>
      </w:r>
    </w:p>
    <w:p w:rsidR="006934A3" w:rsidRPr="002E5848" w:rsidRDefault="006934A3" w:rsidP="002E5848">
      <w:pPr>
        <w:jc w:val="center"/>
        <w:rPr>
          <w:b/>
        </w:rPr>
      </w:pPr>
      <w:r w:rsidRPr="002E5848">
        <w:rPr>
          <w:b/>
        </w:rPr>
        <w:t>REPUBLIKA KOSOVA/ REPUBLIC OF KOSOVO</w:t>
      </w:r>
    </w:p>
    <w:p w:rsidR="006934A3" w:rsidRPr="002E5848" w:rsidRDefault="006934A3" w:rsidP="002E5848">
      <w:pPr>
        <w:jc w:val="center"/>
        <w:rPr>
          <w:b/>
        </w:rPr>
      </w:pPr>
    </w:p>
    <w:p w:rsidR="006934A3" w:rsidRPr="002E5848" w:rsidRDefault="006934A3" w:rsidP="002E5848">
      <w:pPr>
        <w:jc w:val="center"/>
        <w:rPr>
          <w:b/>
        </w:rPr>
      </w:pPr>
      <w:r w:rsidRPr="002E5848">
        <w:rPr>
          <w:b/>
        </w:rPr>
        <w:t>KOMUNA E GJAKOVËS</w:t>
      </w:r>
    </w:p>
    <w:p w:rsidR="006934A3" w:rsidRPr="002E5848" w:rsidRDefault="006934A3" w:rsidP="002E5848">
      <w:pPr>
        <w:pBdr>
          <w:bottom w:val="single" w:sz="12" w:space="1" w:color="auto"/>
        </w:pBdr>
        <w:jc w:val="center"/>
        <w:rPr>
          <w:b/>
        </w:rPr>
      </w:pPr>
      <w:r w:rsidRPr="002E5848">
        <w:rPr>
          <w:b/>
        </w:rPr>
        <w:t>OPŠTINA DJAKOVICA/MUNICIPALITY OF GJAKOVA</w:t>
      </w:r>
    </w:p>
    <w:p w:rsidR="006934A3" w:rsidRPr="002E5848" w:rsidRDefault="006934A3" w:rsidP="002E5848">
      <w:pPr>
        <w:pBdr>
          <w:bottom w:val="single" w:sz="12" w:space="1" w:color="auto"/>
        </w:pBdr>
        <w:jc w:val="center"/>
      </w:pPr>
    </w:p>
    <w:p w:rsidR="00BB1DDA" w:rsidRPr="002E5848" w:rsidRDefault="00BB1DDA" w:rsidP="002E5848">
      <w:pPr>
        <w:autoSpaceDE w:val="0"/>
        <w:autoSpaceDN w:val="0"/>
        <w:adjustRightInd w:val="0"/>
        <w:jc w:val="both"/>
        <w:rPr>
          <w:rFonts w:eastAsia="Batang"/>
          <w:bCs/>
          <w:lang w:val="sq-AL"/>
        </w:rPr>
      </w:pPr>
    </w:p>
    <w:p w:rsidR="00F03316" w:rsidRPr="002E5848" w:rsidRDefault="00F03316" w:rsidP="002E5848">
      <w:pPr>
        <w:autoSpaceDE w:val="0"/>
        <w:autoSpaceDN w:val="0"/>
        <w:adjustRightInd w:val="0"/>
        <w:jc w:val="both"/>
        <w:rPr>
          <w:rFonts w:eastAsia="Batang"/>
          <w:bCs/>
          <w:lang w:val="sq-AL"/>
        </w:rPr>
      </w:pPr>
      <w:r w:rsidRPr="002E5848">
        <w:rPr>
          <w:rFonts w:eastAsia="Batang"/>
          <w:bCs/>
          <w:lang w:val="sq-AL"/>
        </w:rPr>
        <w:t xml:space="preserve">Kuvendi i Komunës së Gjakovës                                   </w:t>
      </w:r>
      <w:r w:rsidRPr="002E5848">
        <w:rPr>
          <w:rFonts w:eastAsia="Batang"/>
          <w:bCs/>
          <w:lang w:val="sq-AL"/>
        </w:rPr>
        <w:tab/>
      </w:r>
      <w:r w:rsidRPr="002E5848">
        <w:rPr>
          <w:rFonts w:eastAsia="Batang"/>
          <w:bCs/>
          <w:lang w:val="sq-AL"/>
        </w:rPr>
        <w:tab/>
        <w:t xml:space="preserve"> </w:t>
      </w:r>
    </w:p>
    <w:p w:rsidR="00F03316" w:rsidRPr="002E5848" w:rsidRDefault="00F03316" w:rsidP="002E5848">
      <w:pPr>
        <w:autoSpaceDE w:val="0"/>
        <w:autoSpaceDN w:val="0"/>
        <w:adjustRightInd w:val="0"/>
        <w:jc w:val="both"/>
        <w:rPr>
          <w:rFonts w:eastAsia="Batang"/>
          <w:bCs/>
          <w:lang w:val="sq-AL"/>
        </w:rPr>
      </w:pPr>
      <w:r w:rsidRPr="002E5848">
        <w:rPr>
          <w:rFonts w:eastAsia="Batang"/>
          <w:bCs/>
          <w:lang w:val="sq-AL"/>
        </w:rPr>
        <w:t>01.Nr. _________________ /202</w:t>
      </w:r>
      <w:r w:rsidR="000F7173" w:rsidRPr="002E5848">
        <w:rPr>
          <w:rFonts w:eastAsia="Batang"/>
          <w:bCs/>
          <w:lang w:val="sq-AL"/>
        </w:rPr>
        <w:t>3</w:t>
      </w:r>
      <w:r w:rsidRPr="002E5848">
        <w:rPr>
          <w:rFonts w:eastAsia="Batang"/>
          <w:bCs/>
          <w:lang w:val="sq-AL"/>
        </w:rPr>
        <w:t xml:space="preserve">                                                                                                                                                             </w:t>
      </w:r>
    </w:p>
    <w:p w:rsidR="00A12357" w:rsidRPr="002E5848" w:rsidRDefault="00F03316" w:rsidP="002E5848">
      <w:pPr>
        <w:jc w:val="both"/>
        <w:rPr>
          <w:lang w:val="sq-AL"/>
        </w:rPr>
      </w:pPr>
      <w:r w:rsidRPr="002E5848">
        <w:rPr>
          <w:lang w:val="sq-AL"/>
        </w:rPr>
        <w:t>Dt.</w:t>
      </w:r>
      <w:r w:rsidR="006934A3" w:rsidRPr="002E5848">
        <w:rPr>
          <w:lang w:val="sq-AL"/>
        </w:rPr>
        <w:t xml:space="preserve"> </w:t>
      </w:r>
      <w:r w:rsidR="000F7173" w:rsidRPr="002E5848">
        <w:rPr>
          <w:u w:val="single"/>
          <w:lang w:val="sq-AL"/>
        </w:rPr>
        <w:t>.                   .</w:t>
      </w:r>
    </w:p>
    <w:p w:rsidR="00124CAA" w:rsidRPr="002E5848" w:rsidRDefault="00F03316" w:rsidP="002E5848">
      <w:pPr>
        <w:jc w:val="both"/>
        <w:rPr>
          <w:lang w:val="sq-AL"/>
        </w:rPr>
      </w:pPr>
      <w:r w:rsidRPr="002E5848">
        <w:rPr>
          <w:lang w:val="sq-AL"/>
        </w:rPr>
        <w:t>Kuvendi i Komunës së Gjakovës, duke u bazuar në nenin 12.2 shkronja (c) dhe neni 40.2 shkronja(a) të Ligjit Nr. 03L/0-40 për Vetëqeverisje Lokale</w:t>
      </w:r>
      <w:r w:rsidR="00353DD9" w:rsidRPr="002E5848">
        <w:rPr>
          <w:lang w:val="sq-AL"/>
        </w:rPr>
        <w:t>,</w:t>
      </w:r>
      <w:r w:rsidRPr="002E5848">
        <w:rPr>
          <w:lang w:val="sq-AL"/>
        </w:rPr>
        <w:t xml:space="preserve"> </w:t>
      </w:r>
      <w:r w:rsidR="00353DD9" w:rsidRPr="002E5848">
        <w:rPr>
          <w:lang w:val="sq-AL"/>
        </w:rPr>
        <w:t>, nenit</w:t>
      </w:r>
      <w:r w:rsidRPr="002E5848">
        <w:rPr>
          <w:lang w:val="sq-AL"/>
        </w:rPr>
        <w:t xml:space="preserve"> </w:t>
      </w:r>
      <w:r w:rsidR="007C6769" w:rsidRPr="002E5848">
        <w:rPr>
          <w:lang w:val="sq-AL"/>
        </w:rPr>
        <w:t xml:space="preserve"> 39 /A të Ligjit Nr. 08/L-224 të </w:t>
      </w:r>
      <w:r w:rsidR="00353DD9" w:rsidRPr="002E5848">
        <w:rPr>
          <w:lang w:val="sq-AL"/>
        </w:rPr>
        <w:t>p</w:t>
      </w:r>
      <w:r w:rsidR="007C6769" w:rsidRPr="002E5848">
        <w:rPr>
          <w:lang w:val="sq-AL"/>
        </w:rPr>
        <w:t xml:space="preserve">ër Ndryshimin dhe Plotësimin e Ligjit Nr. 06/L-005 </w:t>
      </w:r>
      <w:r w:rsidR="00353DD9" w:rsidRPr="002E5848">
        <w:rPr>
          <w:lang w:val="sq-AL"/>
        </w:rPr>
        <w:t>p</w:t>
      </w:r>
      <w:r w:rsidR="007C6769" w:rsidRPr="002E5848">
        <w:rPr>
          <w:lang w:val="sq-AL"/>
        </w:rPr>
        <w:t>ër Tatimin në Pronën e Paluajtshme</w:t>
      </w:r>
      <w:r w:rsidRPr="002E5848">
        <w:rPr>
          <w:lang w:val="sq-AL"/>
        </w:rPr>
        <w:t>, nenin 12 dhe nenin 20 të Ligjit për Tatimin në P</w:t>
      </w:r>
      <w:r w:rsidR="00353DD9" w:rsidRPr="002E5848">
        <w:rPr>
          <w:lang w:val="sq-AL"/>
        </w:rPr>
        <w:t xml:space="preserve">ronën e Paluajtshme Nr.06/L-005, </w:t>
      </w:r>
      <w:r w:rsidR="0025734B" w:rsidRPr="002E5848">
        <w:rPr>
          <w:lang w:val="sq-AL"/>
        </w:rPr>
        <w:t xml:space="preserve">si dhe </w:t>
      </w:r>
      <w:r w:rsidR="00735038" w:rsidRPr="002E5848">
        <w:rPr>
          <w:lang w:val="sq-AL"/>
        </w:rPr>
        <w:t xml:space="preserve">në bzë të dispozitave </w:t>
      </w:r>
      <w:r w:rsidR="0025734B" w:rsidRPr="002E5848">
        <w:rPr>
          <w:lang w:val="sq-AL"/>
        </w:rPr>
        <w:t>të Statutit të Komunës së Gjakovës</w:t>
      </w:r>
      <w:r w:rsidR="00735038" w:rsidRPr="002E5848">
        <w:rPr>
          <w:lang w:val="sq-AL"/>
        </w:rPr>
        <w:t xml:space="preserve"> Nr 01-110/04-29365, </w:t>
      </w:r>
      <w:r w:rsidRPr="002E5848">
        <w:rPr>
          <w:lang w:val="sq-AL"/>
        </w:rPr>
        <w:t xml:space="preserve">në mbledhjen e mbajtur me dt. </w:t>
      </w:r>
      <w:r w:rsidR="000F7173" w:rsidRPr="002E5848">
        <w:rPr>
          <w:u w:val="single"/>
          <w:lang w:val="sq-AL"/>
        </w:rPr>
        <w:t xml:space="preserve">.                    </w:t>
      </w:r>
      <w:r w:rsidRPr="002E5848">
        <w:rPr>
          <w:lang w:val="sq-AL"/>
        </w:rPr>
        <w:t>, pas di</w:t>
      </w:r>
      <w:r w:rsidR="000F7173" w:rsidRPr="002E5848">
        <w:rPr>
          <w:lang w:val="sq-AL"/>
        </w:rPr>
        <w:t>skutimit lidhur me pikën e</w:t>
      </w:r>
      <w:r w:rsidR="001E74C4" w:rsidRPr="002E5848">
        <w:rPr>
          <w:lang w:val="sq-AL"/>
        </w:rPr>
        <w:t xml:space="preserve"> </w:t>
      </w:r>
      <w:r w:rsidR="000F7173" w:rsidRPr="002E5848">
        <w:rPr>
          <w:u w:val="single"/>
          <w:lang w:val="sq-AL"/>
        </w:rPr>
        <w:t>.                 .</w:t>
      </w:r>
      <w:r w:rsidRPr="002E5848">
        <w:rPr>
          <w:lang w:val="sq-AL"/>
        </w:rPr>
        <w:t xml:space="preserve"> të rendit të ditës</w:t>
      </w:r>
      <w:r w:rsidR="001E74C4" w:rsidRPr="002E5848">
        <w:rPr>
          <w:lang w:val="sq-AL"/>
        </w:rPr>
        <w:t>: “</w:t>
      </w:r>
      <w:r w:rsidRPr="002E5848">
        <w:rPr>
          <w:lang w:val="sq-AL"/>
        </w:rPr>
        <w:t xml:space="preserve">Caktimi i </w:t>
      </w:r>
      <w:r w:rsidR="00974D79" w:rsidRPr="002E5848">
        <w:rPr>
          <w:lang w:val="sq-AL"/>
        </w:rPr>
        <w:t>n</w:t>
      </w:r>
      <w:r w:rsidRPr="002E5848">
        <w:rPr>
          <w:lang w:val="sq-AL"/>
        </w:rPr>
        <w:t>ormave tatimore për tatimin në pronat e paluajtshme komunale për vitin 202</w:t>
      </w:r>
      <w:r w:rsidR="007C6769" w:rsidRPr="002E5848">
        <w:rPr>
          <w:lang w:val="sq-AL"/>
        </w:rPr>
        <w:t>4</w:t>
      </w:r>
      <w:r w:rsidR="001E74C4" w:rsidRPr="002E5848">
        <w:rPr>
          <w:lang w:val="sq-AL"/>
        </w:rPr>
        <w:t>”</w:t>
      </w:r>
      <w:r w:rsidRPr="002E5848">
        <w:rPr>
          <w:lang w:val="sq-AL"/>
        </w:rPr>
        <w:t xml:space="preserve"> e miraton këtë: </w:t>
      </w:r>
    </w:p>
    <w:p w:rsidR="00757FED" w:rsidRPr="002E5848" w:rsidRDefault="00757FED" w:rsidP="002E5848">
      <w:pPr>
        <w:jc w:val="both"/>
        <w:rPr>
          <w:lang w:val="sq-AL"/>
        </w:rPr>
      </w:pPr>
    </w:p>
    <w:p w:rsidR="00AA1B52" w:rsidRPr="002E5848" w:rsidRDefault="006D4BDA" w:rsidP="002E5848">
      <w:pPr>
        <w:jc w:val="center"/>
        <w:rPr>
          <w:b/>
          <w:lang w:val="sq-AL"/>
        </w:rPr>
      </w:pPr>
      <w:r>
        <w:rPr>
          <w:b/>
          <w:lang w:val="sq-AL"/>
        </w:rPr>
        <w:t xml:space="preserve">P R O P O Z I M   </w:t>
      </w:r>
      <w:r w:rsidR="00F03316" w:rsidRPr="002E5848">
        <w:rPr>
          <w:b/>
          <w:lang w:val="sq-AL"/>
        </w:rPr>
        <w:t>V E N D I M</w:t>
      </w:r>
    </w:p>
    <w:p w:rsidR="00AA1B52" w:rsidRPr="002E5848" w:rsidRDefault="002E5848" w:rsidP="002E5848">
      <w:pPr>
        <w:jc w:val="center"/>
        <w:rPr>
          <w:b/>
          <w:lang w:val="sq-AL"/>
        </w:rPr>
      </w:pPr>
      <w:r>
        <w:rPr>
          <w:b/>
          <w:lang w:val="sq-AL"/>
        </w:rPr>
        <w:t>p</w:t>
      </w:r>
      <w:r w:rsidR="00F03316" w:rsidRPr="002E5848">
        <w:rPr>
          <w:b/>
          <w:lang w:val="sq-AL"/>
        </w:rPr>
        <w:t>ër</w:t>
      </w:r>
      <w:r w:rsidR="00AA1B52" w:rsidRPr="002E5848">
        <w:rPr>
          <w:b/>
          <w:lang w:val="sq-AL"/>
        </w:rPr>
        <w:t xml:space="preserve"> </w:t>
      </w:r>
      <w:r w:rsidR="00F03316" w:rsidRPr="002E5848">
        <w:rPr>
          <w:b/>
          <w:lang w:val="sq-AL"/>
        </w:rPr>
        <w:t xml:space="preserve">caktimin e normave tatimore </w:t>
      </w:r>
      <w:r w:rsidR="00AA1B52" w:rsidRPr="002E5848">
        <w:rPr>
          <w:b/>
          <w:lang w:val="sq-AL"/>
        </w:rPr>
        <w:t xml:space="preserve">në </w:t>
      </w:r>
      <w:r w:rsidR="00F03316" w:rsidRPr="002E5848">
        <w:rPr>
          <w:b/>
          <w:lang w:val="sq-AL"/>
        </w:rPr>
        <w:t>tatimin</w:t>
      </w:r>
      <w:r w:rsidR="00AA1B52" w:rsidRPr="002E5848">
        <w:rPr>
          <w:b/>
          <w:lang w:val="sq-AL"/>
        </w:rPr>
        <w:t xml:space="preserve"> e pronave të paluajtshme </w:t>
      </w:r>
    </w:p>
    <w:p w:rsidR="00F03316" w:rsidRDefault="00F03316" w:rsidP="002E5848">
      <w:pPr>
        <w:jc w:val="center"/>
        <w:rPr>
          <w:b/>
          <w:lang w:val="sq-AL"/>
        </w:rPr>
      </w:pPr>
      <w:r w:rsidRPr="002E5848">
        <w:rPr>
          <w:b/>
          <w:lang w:val="sq-AL"/>
        </w:rPr>
        <w:t>për vitin 202</w:t>
      </w:r>
      <w:r w:rsidR="007C6769" w:rsidRPr="002E5848">
        <w:rPr>
          <w:b/>
          <w:lang w:val="sq-AL"/>
        </w:rPr>
        <w:t>4</w:t>
      </w:r>
    </w:p>
    <w:p w:rsidR="002E5848" w:rsidRPr="002E5848" w:rsidRDefault="002E5848" w:rsidP="002E5848">
      <w:pPr>
        <w:jc w:val="center"/>
        <w:rPr>
          <w:b/>
          <w:lang w:val="sq-AL"/>
        </w:rPr>
      </w:pPr>
    </w:p>
    <w:p w:rsidR="00F03316" w:rsidRPr="002E5848" w:rsidRDefault="00F03316" w:rsidP="002E5848">
      <w:pPr>
        <w:jc w:val="center"/>
        <w:rPr>
          <w:b/>
          <w:lang w:val="sq-AL"/>
        </w:rPr>
      </w:pPr>
      <w:r w:rsidRPr="002E5848">
        <w:rPr>
          <w:b/>
          <w:lang w:val="sq-AL"/>
        </w:rPr>
        <w:t>Neni 1</w:t>
      </w:r>
    </w:p>
    <w:p w:rsidR="00F03316" w:rsidRPr="002E5848" w:rsidRDefault="00F03316" w:rsidP="002E5848">
      <w:pPr>
        <w:jc w:val="center"/>
        <w:rPr>
          <w:lang w:val="sq-AL"/>
        </w:rPr>
      </w:pPr>
      <w:r w:rsidRPr="002E5848">
        <w:rPr>
          <w:b/>
          <w:lang w:val="sq-AL"/>
        </w:rPr>
        <w:t>Norma Tatimore</w:t>
      </w:r>
    </w:p>
    <w:p w:rsidR="00535DD7" w:rsidRPr="002E5848" w:rsidRDefault="005C2310" w:rsidP="002E5848">
      <w:pPr>
        <w:jc w:val="both"/>
        <w:rPr>
          <w:lang w:val="sq-AL"/>
        </w:rPr>
      </w:pPr>
      <w:r w:rsidRPr="002E5848">
        <w:rPr>
          <w:lang w:val="sq-AL"/>
        </w:rPr>
        <w:t>Në zbatim të Ligjit Nr. 06/L-005, për Tatimin në Pronën e Paluajtshme, neni 9, paragrafi 1, nënparagrafi 1.1 deri 1.9</w:t>
      </w:r>
      <w:r w:rsidR="00445231" w:rsidRPr="002E5848">
        <w:rPr>
          <w:lang w:val="sq-AL"/>
        </w:rPr>
        <w:t xml:space="preserve"> dhe nenit 39 /</w:t>
      </w:r>
      <w:bookmarkStart w:id="0" w:name="_GoBack"/>
      <w:bookmarkEnd w:id="0"/>
      <w:r w:rsidR="00445231" w:rsidRPr="002E5848">
        <w:rPr>
          <w:lang w:val="sq-AL"/>
        </w:rPr>
        <w:t xml:space="preserve">A të Ligjit Nr. 08/L-224 </w:t>
      </w:r>
      <w:r w:rsidR="0025734B" w:rsidRPr="002E5848">
        <w:rPr>
          <w:lang w:val="sq-AL"/>
        </w:rPr>
        <w:t>p</w:t>
      </w:r>
      <w:r w:rsidR="00445231" w:rsidRPr="002E5848">
        <w:rPr>
          <w:lang w:val="sq-AL"/>
        </w:rPr>
        <w:t>ër Ndryshimin dhe Plotësimin e Ligjit Nr. 06/L-005 Për Tatimin në Pronën e Paluajtshme</w:t>
      </w:r>
      <w:r w:rsidRPr="002E5848">
        <w:rPr>
          <w:lang w:val="sq-AL"/>
        </w:rPr>
        <w:t>, Kuvendi i Komunës së Gjakovës cakton normat tatimore për vitin 202</w:t>
      </w:r>
      <w:r w:rsidR="007C6769" w:rsidRPr="002E5848">
        <w:rPr>
          <w:lang w:val="sq-AL"/>
        </w:rPr>
        <w:t>4</w:t>
      </w:r>
      <w:r w:rsidRPr="002E5848">
        <w:rPr>
          <w:lang w:val="sq-AL"/>
        </w:rPr>
        <w:t xml:space="preserve"> për të gjitha kategoritë e pronave, me përjashtim </w:t>
      </w:r>
      <w:r w:rsidR="00535DD7" w:rsidRPr="002E5848">
        <w:rPr>
          <w:lang w:val="sq-AL"/>
        </w:rPr>
        <w:t xml:space="preserve">të kategorisë së pronës publike. </w:t>
      </w:r>
    </w:p>
    <w:p w:rsidR="005C2310" w:rsidRPr="002E5848" w:rsidRDefault="00662090" w:rsidP="002E5848">
      <w:pPr>
        <w:pStyle w:val="ListParagraph"/>
        <w:numPr>
          <w:ilvl w:val="0"/>
          <w:numId w:val="4"/>
        </w:numPr>
        <w:jc w:val="both"/>
        <w:rPr>
          <w:b/>
          <w:lang w:val="sq-AL"/>
        </w:rPr>
      </w:pPr>
      <w:r w:rsidRPr="002E5848">
        <w:rPr>
          <w:b/>
          <w:lang w:val="sq-AL"/>
        </w:rPr>
        <w:t xml:space="preserve">Norma tatimore për </w:t>
      </w:r>
      <w:r w:rsidR="00E41437" w:rsidRPr="002E5848">
        <w:rPr>
          <w:b/>
          <w:lang w:val="sq-AL"/>
        </w:rPr>
        <w:t xml:space="preserve">njësitë e </w:t>
      </w:r>
      <w:r w:rsidRPr="002E5848">
        <w:rPr>
          <w:b/>
          <w:lang w:val="sq-AL"/>
        </w:rPr>
        <w:t>parcela</w:t>
      </w:r>
      <w:r w:rsidR="00E41437" w:rsidRPr="002E5848">
        <w:rPr>
          <w:b/>
          <w:lang w:val="sq-AL"/>
        </w:rPr>
        <w:t xml:space="preserve">ve </w:t>
      </w:r>
      <w:r w:rsidRPr="002E5848">
        <w:rPr>
          <w:b/>
          <w:lang w:val="sq-AL"/>
        </w:rPr>
        <w:t>do të je</w:t>
      </w:r>
      <w:r w:rsidR="00E41437" w:rsidRPr="002E5848">
        <w:rPr>
          <w:b/>
          <w:lang w:val="sq-AL"/>
        </w:rPr>
        <w:t>t</w:t>
      </w:r>
      <w:r w:rsidRPr="002E5848">
        <w:rPr>
          <w:b/>
          <w:lang w:val="sq-AL"/>
        </w:rPr>
        <w:t xml:space="preserve">ë: </w:t>
      </w:r>
    </w:p>
    <w:p w:rsidR="005C2310" w:rsidRPr="002E5848" w:rsidRDefault="00DD07CF" w:rsidP="002E5848">
      <w:pPr>
        <w:pStyle w:val="ListParagraph"/>
        <w:jc w:val="both"/>
        <w:rPr>
          <w:lang w:val="sq-AL"/>
        </w:rPr>
      </w:pPr>
      <w:r w:rsidRPr="002E5848">
        <w:rPr>
          <w:lang w:val="sq-AL"/>
        </w:rPr>
        <w:t xml:space="preserve">1.1. </w:t>
      </w:r>
      <w:r w:rsidR="003408A9" w:rsidRPr="002E5848">
        <w:rPr>
          <w:lang w:val="sq-AL"/>
        </w:rPr>
        <w:t>Për njësitë bujqësore të parcelave ------------ (0.1</w:t>
      </w:r>
      <w:r w:rsidR="007C6769" w:rsidRPr="002E5848">
        <w:rPr>
          <w:lang w:val="sq-AL"/>
        </w:rPr>
        <w:t>0</w:t>
      </w:r>
      <w:r w:rsidR="003408A9" w:rsidRPr="002E5848">
        <w:rPr>
          <w:lang w:val="sq-AL"/>
        </w:rPr>
        <w:t>%)</w:t>
      </w:r>
    </w:p>
    <w:p w:rsidR="00E766CF" w:rsidRPr="002E5848" w:rsidRDefault="00DD07CF" w:rsidP="002E5848">
      <w:pPr>
        <w:pStyle w:val="ListParagraph"/>
        <w:jc w:val="both"/>
        <w:rPr>
          <w:lang w:val="sq-AL"/>
        </w:rPr>
      </w:pPr>
      <w:r w:rsidRPr="002E5848">
        <w:rPr>
          <w:lang w:val="sq-AL"/>
        </w:rPr>
        <w:t xml:space="preserve">1.2. </w:t>
      </w:r>
      <w:r w:rsidR="00E766CF" w:rsidRPr="002E5848">
        <w:rPr>
          <w:lang w:val="sq-AL"/>
        </w:rPr>
        <w:t>Për njësitë pyjore të parcelave ---------------- (0.10%)</w:t>
      </w:r>
    </w:p>
    <w:p w:rsidR="00E766CF" w:rsidRPr="002E5848" w:rsidRDefault="00DD07CF" w:rsidP="002E5848">
      <w:pPr>
        <w:pStyle w:val="ListParagraph"/>
        <w:jc w:val="both"/>
        <w:rPr>
          <w:lang w:val="sq-AL"/>
        </w:rPr>
      </w:pPr>
      <w:r w:rsidRPr="002E5848">
        <w:rPr>
          <w:lang w:val="sq-AL"/>
        </w:rPr>
        <w:t xml:space="preserve">1.3. </w:t>
      </w:r>
      <w:r w:rsidR="00E766CF" w:rsidRPr="002E5848">
        <w:rPr>
          <w:lang w:val="sq-AL"/>
        </w:rPr>
        <w:t>Për njësitë rezidenciale të parcelave --------- (0.10%)</w:t>
      </w:r>
    </w:p>
    <w:p w:rsidR="00E766CF" w:rsidRPr="002E5848" w:rsidRDefault="00DD07CF" w:rsidP="002E5848">
      <w:pPr>
        <w:pStyle w:val="ListParagraph"/>
        <w:jc w:val="both"/>
        <w:rPr>
          <w:lang w:val="sq-AL"/>
        </w:rPr>
      </w:pPr>
      <w:r w:rsidRPr="002E5848">
        <w:rPr>
          <w:lang w:val="sq-AL"/>
        </w:rPr>
        <w:t xml:space="preserve">1.4. </w:t>
      </w:r>
      <w:r w:rsidR="00E766CF" w:rsidRPr="002E5848">
        <w:rPr>
          <w:lang w:val="sq-AL"/>
        </w:rPr>
        <w:t>Për njësitë industriale të parcelave ----------- (0.10%)</w:t>
      </w:r>
    </w:p>
    <w:p w:rsidR="00E766CF" w:rsidRPr="002E5848" w:rsidRDefault="00DD07CF" w:rsidP="002E5848">
      <w:pPr>
        <w:pStyle w:val="ListParagraph"/>
        <w:jc w:val="both"/>
        <w:rPr>
          <w:lang w:val="sq-AL"/>
        </w:rPr>
      </w:pPr>
      <w:r w:rsidRPr="002E5848">
        <w:rPr>
          <w:lang w:val="sq-AL"/>
        </w:rPr>
        <w:t xml:space="preserve">1.5. </w:t>
      </w:r>
      <w:r w:rsidR="00E766CF" w:rsidRPr="002E5848">
        <w:rPr>
          <w:lang w:val="sq-AL"/>
        </w:rPr>
        <w:t>Për njësitë komerciale të parcelave ---------- (0.10%)</w:t>
      </w:r>
    </w:p>
    <w:p w:rsidR="00E41437" w:rsidRPr="002E5848" w:rsidRDefault="00E41437" w:rsidP="002E5848">
      <w:pPr>
        <w:pStyle w:val="ListParagraph"/>
        <w:numPr>
          <w:ilvl w:val="0"/>
          <w:numId w:val="4"/>
        </w:numPr>
        <w:jc w:val="both"/>
        <w:rPr>
          <w:b/>
          <w:lang w:val="sq-AL"/>
        </w:rPr>
      </w:pPr>
      <w:r w:rsidRPr="002E5848">
        <w:rPr>
          <w:b/>
          <w:lang w:val="sq-AL"/>
        </w:rPr>
        <w:t>Norma tatimore për njësitë e objekteve do të jetë:</w:t>
      </w:r>
    </w:p>
    <w:p w:rsidR="003408A9" w:rsidRPr="002E5848" w:rsidRDefault="00DD07CF" w:rsidP="002E5848">
      <w:pPr>
        <w:pStyle w:val="ListParagraph"/>
        <w:jc w:val="both"/>
        <w:rPr>
          <w:lang w:val="sq-AL"/>
        </w:rPr>
      </w:pPr>
      <w:r w:rsidRPr="002E5848">
        <w:rPr>
          <w:lang w:val="sq-AL"/>
        </w:rPr>
        <w:t xml:space="preserve">2.1. </w:t>
      </w:r>
      <w:r w:rsidR="003408A9" w:rsidRPr="002E5848">
        <w:rPr>
          <w:lang w:val="sq-AL"/>
        </w:rPr>
        <w:t>Për njësitë bujqësore të objekteve ------------ (0.1</w:t>
      </w:r>
      <w:r w:rsidR="007C6769" w:rsidRPr="002E5848">
        <w:rPr>
          <w:lang w:val="sq-AL"/>
        </w:rPr>
        <w:t>0</w:t>
      </w:r>
      <w:r w:rsidR="003408A9" w:rsidRPr="002E5848">
        <w:rPr>
          <w:lang w:val="sq-AL"/>
        </w:rPr>
        <w:t>%)</w:t>
      </w:r>
    </w:p>
    <w:p w:rsidR="003408A9" w:rsidRPr="002E5848" w:rsidRDefault="00DD07CF" w:rsidP="002E5848">
      <w:pPr>
        <w:pStyle w:val="ListParagraph"/>
        <w:jc w:val="both"/>
        <w:rPr>
          <w:lang w:val="sq-AL"/>
        </w:rPr>
      </w:pPr>
      <w:r w:rsidRPr="002E5848">
        <w:rPr>
          <w:lang w:val="sq-AL"/>
        </w:rPr>
        <w:t xml:space="preserve">2.2. </w:t>
      </w:r>
      <w:r w:rsidR="003408A9" w:rsidRPr="002E5848">
        <w:rPr>
          <w:lang w:val="sq-AL"/>
        </w:rPr>
        <w:t>Për njësitë rezidenci</w:t>
      </w:r>
      <w:r w:rsidR="007C6769" w:rsidRPr="002E5848">
        <w:rPr>
          <w:lang w:val="sq-AL"/>
        </w:rPr>
        <w:t>ale të objekteve --------- (0.15</w:t>
      </w:r>
      <w:r w:rsidR="003408A9" w:rsidRPr="002E5848">
        <w:rPr>
          <w:lang w:val="sq-AL"/>
        </w:rPr>
        <w:t>%)</w:t>
      </w:r>
    </w:p>
    <w:p w:rsidR="00E766CF" w:rsidRPr="002E5848" w:rsidRDefault="00DD07CF" w:rsidP="002E5848">
      <w:pPr>
        <w:pStyle w:val="ListParagraph"/>
        <w:numPr>
          <w:ilvl w:val="1"/>
          <w:numId w:val="4"/>
        </w:numPr>
        <w:jc w:val="both"/>
        <w:rPr>
          <w:lang w:val="sq-AL"/>
        </w:rPr>
      </w:pPr>
      <w:r w:rsidRPr="002E5848">
        <w:rPr>
          <w:lang w:val="sq-AL"/>
        </w:rPr>
        <w:t xml:space="preserve"> </w:t>
      </w:r>
      <w:r w:rsidR="00E766CF" w:rsidRPr="002E5848">
        <w:rPr>
          <w:lang w:val="sq-AL"/>
        </w:rPr>
        <w:t>Për njësitë industriale të objekteve ----------- (0.16%)</w:t>
      </w:r>
    </w:p>
    <w:p w:rsidR="003408A9" w:rsidRDefault="003408A9" w:rsidP="002E5848">
      <w:pPr>
        <w:pStyle w:val="ListParagraph"/>
        <w:numPr>
          <w:ilvl w:val="1"/>
          <w:numId w:val="4"/>
        </w:numPr>
        <w:jc w:val="both"/>
        <w:rPr>
          <w:lang w:val="sq-AL"/>
        </w:rPr>
      </w:pPr>
      <w:r w:rsidRPr="002E5848">
        <w:rPr>
          <w:lang w:val="sq-AL"/>
        </w:rPr>
        <w:t>Për njësitë komerciale të objekteve --------</w:t>
      </w:r>
      <w:r w:rsidR="00DD07CF" w:rsidRPr="002E5848">
        <w:rPr>
          <w:lang w:val="sq-AL"/>
        </w:rPr>
        <w:t>-</w:t>
      </w:r>
      <w:r w:rsidRPr="002E5848">
        <w:rPr>
          <w:lang w:val="sq-AL"/>
        </w:rPr>
        <w:t>-- (0.</w:t>
      </w:r>
      <w:r w:rsidR="007C6769" w:rsidRPr="002E5848">
        <w:rPr>
          <w:lang w:val="sq-AL"/>
        </w:rPr>
        <w:t>18</w:t>
      </w:r>
      <w:r w:rsidRPr="002E5848">
        <w:rPr>
          <w:lang w:val="sq-AL"/>
        </w:rPr>
        <w:t>%)</w:t>
      </w:r>
    </w:p>
    <w:p w:rsidR="002E5848" w:rsidRPr="002E5848" w:rsidRDefault="002E5848" w:rsidP="002E5848">
      <w:pPr>
        <w:pStyle w:val="ListParagraph"/>
        <w:ind w:left="1080"/>
        <w:jc w:val="both"/>
        <w:rPr>
          <w:lang w:val="sq-AL"/>
        </w:rPr>
      </w:pPr>
    </w:p>
    <w:p w:rsidR="001D2851" w:rsidRPr="002E5848" w:rsidRDefault="001D2851" w:rsidP="002E5848">
      <w:pPr>
        <w:jc w:val="center"/>
        <w:rPr>
          <w:b/>
          <w:lang w:val="sq-AL"/>
        </w:rPr>
      </w:pPr>
      <w:r w:rsidRPr="002E5848">
        <w:rPr>
          <w:b/>
          <w:lang w:val="sq-AL"/>
        </w:rPr>
        <w:t>Neni 2</w:t>
      </w:r>
    </w:p>
    <w:p w:rsidR="001D2851" w:rsidRPr="002E5848" w:rsidRDefault="001D2851" w:rsidP="002E5848">
      <w:pPr>
        <w:jc w:val="center"/>
        <w:rPr>
          <w:b/>
          <w:lang w:val="sq-AL"/>
        </w:rPr>
      </w:pPr>
      <w:r w:rsidRPr="002E5848">
        <w:rPr>
          <w:b/>
          <w:lang w:val="sq-AL"/>
        </w:rPr>
        <w:t>Zbatimi</w:t>
      </w:r>
    </w:p>
    <w:p w:rsidR="00757FED" w:rsidRPr="002E5848" w:rsidRDefault="001D2851" w:rsidP="002E5848">
      <w:pPr>
        <w:jc w:val="both"/>
        <w:rPr>
          <w:lang w:val="sq-AL"/>
        </w:rPr>
      </w:pPr>
      <w:r w:rsidRPr="002E5848">
        <w:rPr>
          <w:lang w:val="sq-AL"/>
        </w:rPr>
        <w:t>Për zbatimin e këtij vendimi obligohet Drejtoria për Buxhet dhe Financa dhe Zyra e Tatimit në Pronë.</w:t>
      </w:r>
      <w:r w:rsidR="00757FED" w:rsidRPr="002E5848">
        <w:rPr>
          <w:lang w:val="sq-AL"/>
        </w:rPr>
        <w:tab/>
      </w:r>
      <w:r w:rsidR="00757FED" w:rsidRPr="002E5848">
        <w:rPr>
          <w:lang w:val="sq-AL"/>
        </w:rPr>
        <w:tab/>
      </w:r>
      <w:r w:rsidR="00757FED" w:rsidRPr="002E5848">
        <w:rPr>
          <w:lang w:val="sq-AL"/>
        </w:rPr>
        <w:tab/>
      </w:r>
      <w:r w:rsidR="00757FED" w:rsidRPr="002E5848">
        <w:rPr>
          <w:lang w:val="sq-AL"/>
        </w:rPr>
        <w:tab/>
      </w:r>
      <w:r w:rsidR="00757FED" w:rsidRPr="002E5848">
        <w:rPr>
          <w:lang w:val="sq-AL"/>
        </w:rPr>
        <w:tab/>
      </w:r>
    </w:p>
    <w:p w:rsidR="002E5848" w:rsidRDefault="00757FED" w:rsidP="002E5848">
      <w:pPr>
        <w:ind w:left="2880" w:firstLine="720"/>
        <w:jc w:val="both"/>
        <w:rPr>
          <w:lang w:val="sq-AL"/>
        </w:rPr>
      </w:pPr>
      <w:r w:rsidRPr="002E5848">
        <w:rPr>
          <w:lang w:val="sq-AL"/>
        </w:rPr>
        <w:t xml:space="preserve">    </w:t>
      </w:r>
    </w:p>
    <w:p w:rsidR="001D2851" w:rsidRPr="002E5848" w:rsidRDefault="002E5848" w:rsidP="002E5848">
      <w:pPr>
        <w:ind w:left="2880" w:firstLine="720"/>
        <w:jc w:val="both"/>
        <w:rPr>
          <w:b/>
          <w:lang w:val="sq-AL"/>
        </w:rPr>
      </w:pPr>
      <w:r>
        <w:rPr>
          <w:lang w:val="sq-AL"/>
        </w:rPr>
        <w:lastRenderedPageBreak/>
        <w:t xml:space="preserve">   </w:t>
      </w:r>
      <w:r w:rsidR="00757FED" w:rsidRPr="002E5848">
        <w:rPr>
          <w:lang w:val="sq-AL"/>
        </w:rPr>
        <w:t xml:space="preserve">  </w:t>
      </w:r>
      <w:r w:rsidR="001D2851" w:rsidRPr="002E5848">
        <w:rPr>
          <w:b/>
          <w:lang w:val="sq-AL"/>
        </w:rPr>
        <w:t>Neni 3</w:t>
      </w:r>
    </w:p>
    <w:p w:rsidR="001D2851" w:rsidRPr="002E5848" w:rsidRDefault="001D2851" w:rsidP="002E5848">
      <w:pPr>
        <w:jc w:val="center"/>
        <w:rPr>
          <w:b/>
          <w:lang w:val="sq-AL"/>
        </w:rPr>
      </w:pPr>
      <w:r w:rsidRPr="002E5848">
        <w:rPr>
          <w:b/>
          <w:lang w:val="sq-AL"/>
        </w:rPr>
        <w:t>Hyrja në fuqi</w:t>
      </w:r>
    </w:p>
    <w:p w:rsidR="001D2851" w:rsidRDefault="001D2851" w:rsidP="002E5848">
      <w:pPr>
        <w:jc w:val="both"/>
        <w:rPr>
          <w:lang w:val="sq-AL"/>
        </w:rPr>
      </w:pPr>
      <w:r w:rsidRPr="002E5848">
        <w:rPr>
          <w:lang w:val="sq-AL"/>
        </w:rPr>
        <w:t>Ky vendim hyn në fuqi 15 ditë pas regjistrimit në zyrën e protokollit në Ministrinë e Administrimit të Pushtetit Lokal si</w:t>
      </w:r>
      <w:r w:rsidR="00BB1DDA" w:rsidRPr="002E5848">
        <w:rPr>
          <w:lang w:val="sq-AL"/>
        </w:rPr>
        <w:t xml:space="preserve"> dhe 7 ditë pas publikimit në u</w:t>
      </w:r>
      <w:r w:rsidRPr="002E5848">
        <w:rPr>
          <w:lang w:val="sq-AL"/>
        </w:rPr>
        <w:t>eb faqen e Komunës.</w:t>
      </w:r>
    </w:p>
    <w:p w:rsidR="002E5848" w:rsidRPr="002E5848" w:rsidRDefault="002E5848" w:rsidP="002E5848">
      <w:pPr>
        <w:jc w:val="both"/>
        <w:rPr>
          <w:lang w:val="sq-AL"/>
        </w:rPr>
      </w:pPr>
    </w:p>
    <w:p w:rsidR="001D2851" w:rsidRPr="002E5848" w:rsidRDefault="001D2851" w:rsidP="002E5848">
      <w:pPr>
        <w:jc w:val="both"/>
        <w:rPr>
          <w:b/>
          <w:lang w:val="sq-AL"/>
        </w:rPr>
      </w:pPr>
      <w:r w:rsidRPr="002E5848">
        <w:rPr>
          <w:b/>
          <w:lang w:val="sq-AL"/>
        </w:rPr>
        <w:t>Vendimi ju dërgohet:</w:t>
      </w:r>
    </w:p>
    <w:p w:rsidR="001D2851" w:rsidRPr="002E5848" w:rsidRDefault="001D2851" w:rsidP="002E5848">
      <w:pPr>
        <w:pStyle w:val="ListParagraph"/>
        <w:numPr>
          <w:ilvl w:val="0"/>
          <w:numId w:val="2"/>
        </w:numPr>
        <w:jc w:val="both"/>
        <w:rPr>
          <w:lang w:val="sq-AL"/>
        </w:rPr>
      </w:pPr>
      <w:r w:rsidRPr="002E5848">
        <w:rPr>
          <w:lang w:val="sq-AL"/>
        </w:rPr>
        <w:t>Kryetarit të Komunës së Gjakovës z. Ardian Gjini</w:t>
      </w:r>
    </w:p>
    <w:p w:rsidR="001D2851" w:rsidRPr="002E5848" w:rsidRDefault="001D2851" w:rsidP="002E5848">
      <w:pPr>
        <w:pStyle w:val="ListParagraph"/>
        <w:numPr>
          <w:ilvl w:val="0"/>
          <w:numId w:val="2"/>
        </w:numPr>
        <w:jc w:val="both"/>
        <w:rPr>
          <w:lang w:val="sq-AL"/>
        </w:rPr>
      </w:pPr>
      <w:r w:rsidRPr="002E5848">
        <w:rPr>
          <w:lang w:val="sq-AL"/>
        </w:rPr>
        <w:t>Drejtorisë për Buxhet dhe Financa</w:t>
      </w:r>
    </w:p>
    <w:p w:rsidR="001D2851" w:rsidRPr="002E5848" w:rsidRDefault="001D2851" w:rsidP="002E5848">
      <w:pPr>
        <w:pStyle w:val="ListParagraph"/>
        <w:numPr>
          <w:ilvl w:val="0"/>
          <w:numId w:val="2"/>
        </w:numPr>
        <w:jc w:val="both"/>
        <w:rPr>
          <w:lang w:val="sq-AL"/>
        </w:rPr>
      </w:pPr>
      <w:r w:rsidRPr="002E5848">
        <w:rPr>
          <w:lang w:val="sq-AL"/>
        </w:rPr>
        <w:t>Ministrisë të Financave Punës dhe Transfereve</w:t>
      </w:r>
    </w:p>
    <w:p w:rsidR="001D2851" w:rsidRPr="002E5848" w:rsidRDefault="001D2851" w:rsidP="002E5848">
      <w:pPr>
        <w:pStyle w:val="ListParagraph"/>
        <w:numPr>
          <w:ilvl w:val="0"/>
          <w:numId w:val="2"/>
        </w:numPr>
        <w:jc w:val="both"/>
        <w:rPr>
          <w:lang w:val="sq-AL"/>
        </w:rPr>
      </w:pPr>
      <w:r w:rsidRPr="002E5848">
        <w:rPr>
          <w:lang w:val="sq-AL"/>
        </w:rPr>
        <w:t>Zyrës të Tatimit në Pronë</w:t>
      </w:r>
    </w:p>
    <w:p w:rsidR="001D2851" w:rsidRPr="002E5848" w:rsidRDefault="001D2851" w:rsidP="002E5848">
      <w:pPr>
        <w:pStyle w:val="ListParagraph"/>
        <w:numPr>
          <w:ilvl w:val="0"/>
          <w:numId w:val="2"/>
        </w:numPr>
        <w:jc w:val="both"/>
        <w:rPr>
          <w:lang w:val="sq-AL"/>
        </w:rPr>
      </w:pPr>
      <w:r w:rsidRPr="002E5848">
        <w:rPr>
          <w:lang w:val="sq-AL"/>
        </w:rPr>
        <w:t>Arkivit Komunal</w:t>
      </w:r>
    </w:p>
    <w:p w:rsidR="007F3174" w:rsidRPr="002E5848" w:rsidRDefault="007F3174" w:rsidP="002E5848">
      <w:pPr>
        <w:jc w:val="both"/>
        <w:rPr>
          <w:lang w:val="sq-AL"/>
        </w:rPr>
      </w:pPr>
    </w:p>
    <w:p w:rsidR="007F3174" w:rsidRPr="002E5848" w:rsidRDefault="007F3174" w:rsidP="002E5848">
      <w:pPr>
        <w:jc w:val="both"/>
        <w:rPr>
          <w:b/>
          <w:lang w:val="sq-AL"/>
        </w:rPr>
      </w:pPr>
    </w:p>
    <w:p w:rsidR="00757FED" w:rsidRPr="002E5848" w:rsidRDefault="00757FED" w:rsidP="002E5848">
      <w:pPr>
        <w:ind w:left="5040" w:firstLine="720"/>
        <w:jc w:val="center"/>
        <w:rPr>
          <w:b/>
          <w:lang w:val="sq-AL"/>
        </w:rPr>
      </w:pPr>
      <w:r w:rsidRPr="002E5848">
        <w:rPr>
          <w:b/>
          <w:lang w:val="sq-AL"/>
        </w:rPr>
        <w:t xml:space="preserve">Arbënesha Kuqi </w:t>
      </w:r>
    </w:p>
    <w:p w:rsidR="007F3174" w:rsidRPr="002E5848" w:rsidRDefault="007F3174" w:rsidP="002E5848">
      <w:pPr>
        <w:jc w:val="right"/>
        <w:rPr>
          <w:b/>
          <w:lang w:val="sq-AL"/>
        </w:rPr>
      </w:pPr>
    </w:p>
    <w:p w:rsidR="007F3174" w:rsidRPr="002E5848" w:rsidRDefault="00757FED" w:rsidP="002E5848">
      <w:pPr>
        <w:ind w:left="5040" w:firstLine="720"/>
        <w:jc w:val="center"/>
        <w:rPr>
          <w:b/>
          <w:lang w:val="sq-AL"/>
        </w:rPr>
      </w:pPr>
      <w:r w:rsidRPr="002E5848">
        <w:rPr>
          <w:b/>
          <w:lang w:val="sq-AL"/>
        </w:rPr>
        <w:t xml:space="preserve"> </w:t>
      </w:r>
      <w:r w:rsidR="007F3174" w:rsidRPr="002E5848">
        <w:rPr>
          <w:b/>
          <w:lang w:val="sq-AL"/>
        </w:rPr>
        <w:t>_____________________</w:t>
      </w:r>
    </w:p>
    <w:p w:rsidR="00757FED" w:rsidRPr="002E5848" w:rsidRDefault="00757FED" w:rsidP="002E5848">
      <w:pPr>
        <w:jc w:val="right"/>
        <w:rPr>
          <w:b/>
          <w:lang w:val="sq-AL"/>
        </w:rPr>
      </w:pPr>
      <w:r w:rsidRPr="002E5848">
        <w:rPr>
          <w:b/>
          <w:lang w:val="sq-AL"/>
        </w:rPr>
        <w:t xml:space="preserve">       Kryesuse e Kuvendit të Komunës</w:t>
      </w:r>
    </w:p>
    <w:p w:rsidR="00757FED" w:rsidRPr="002E5848" w:rsidRDefault="00757FED" w:rsidP="002E5848">
      <w:pPr>
        <w:ind w:left="5040" w:firstLine="720"/>
        <w:jc w:val="center"/>
        <w:rPr>
          <w:lang w:val="sq-AL"/>
        </w:rPr>
      </w:pPr>
    </w:p>
    <w:sectPr w:rsidR="00757FED" w:rsidRPr="002E584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280120"/>
    <w:multiLevelType w:val="multilevel"/>
    <w:tmpl w:val="9CC01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F713730"/>
    <w:multiLevelType w:val="multilevel"/>
    <w:tmpl w:val="FC5873D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0" w:hanging="1800"/>
      </w:pPr>
      <w:rPr>
        <w:rFonts w:hint="default"/>
      </w:rPr>
    </w:lvl>
  </w:abstractNum>
  <w:abstractNum w:abstractNumId="2" w15:restartNumberingAfterBreak="0">
    <w:nsid w:val="704F63B2"/>
    <w:multiLevelType w:val="hybridMultilevel"/>
    <w:tmpl w:val="FE00D98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C0D78"/>
    <w:multiLevelType w:val="hybridMultilevel"/>
    <w:tmpl w:val="1D18A02C"/>
    <w:lvl w:ilvl="0" w:tplc="B60EB0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16"/>
    <w:rsid w:val="000F7173"/>
    <w:rsid w:val="00124CAA"/>
    <w:rsid w:val="001467EF"/>
    <w:rsid w:val="001A77DD"/>
    <w:rsid w:val="001D2851"/>
    <w:rsid w:val="001E74C4"/>
    <w:rsid w:val="00246068"/>
    <w:rsid w:val="0025734B"/>
    <w:rsid w:val="00295514"/>
    <w:rsid w:val="002E5848"/>
    <w:rsid w:val="003408A9"/>
    <w:rsid w:val="00353DD9"/>
    <w:rsid w:val="00381BD1"/>
    <w:rsid w:val="00445231"/>
    <w:rsid w:val="00516082"/>
    <w:rsid w:val="00535DD7"/>
    <w:rsid w:val="005C2310"/>
    <w:rsid w:val="00617F93"/>
    <w:rsid w:val="00662090"/>
    <w:rsid w:val="006934A3"/>
    <w:rsid w:val="006D4BDA"/>
    <w:rsid w:val="00735038"/>
    <w:rsid w:val="00757FED"/>
    <w:rsid w:val="007C6769"/>
    <w:rsid w:val="007F3174"/>
    <w:rsid w:val="00974D79"/>
    <w:rsid w:val="00A12357"/>
    <w:rsid w:val="00A27C9A"/>
    <w:rsid w:val="00AA1B52"/>
    <w:rsid w:val="00B207AB"/>
    <w:rsid w:val="00BB1DDA"/>
    <w:rsid w:val="00C378DB"/>
    <w:rsid w:val="00DD07CF"/>
    <w:rsid w:val="00E41437"/>
    <w:rsid w:val="00E766CF"/>
    <w:rsid w:val="00F0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66460"/>
  <w15:docId w15:val="{D8DC6C0E-3D4C-46CC-8282-E7AD54AC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8A9"/>
    <w:pPr>
      <w:ind w:left="720"/>
      <w:contextualSpacing/>
    </w:pPr>
  </w:style>
  <w:style w:type="paragraph" w:styleId="Title">
    <w:name w:val="Title"/>
    <w:basedOn w:val="Normal"/>
    <w:link w:val="TitleChar"/>
    <w:qFormat/>
    <w:rsid w:val="00BB1DDA"/>
    <w:pPr>
      <w:jc w:val="center"/>
    </w:pPr>
    <w:rPr>
      <w:rFonts w:eastAsia="MS Mincho"/>
      <w:b/>
      <w:bCs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BB1DDA"/>
    <w:rPr>
      <w:rFonts w:ascii="Times New Roman" w:eastAsia="MS Mincho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Shkelzen Cermjani</dc:creator>
  <cp:keywords/>
  <dc:description/>
  <cp:lastModifiedBy>Durim Halilaj</cp:lastModifiedBy>
  <cp:revision>25</cp:revision>
  <dcterms:created xsi:type="dcterms:W3CDTF">2021-09-09T10:50:00Z</dcterms:created>
  <dcterms:modified xsi:type="dcterms:W3CDTF">2023-11-15T09:55:00Z</dcterms:modified>
</cp:coreProperties>
</file>